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2873"/>
        <w:gridCol w:w="2779"/>
      </w:tblGrid>
      <w:tr w:rsidR="00832934" w:rsidRPr="00A4348D" w:rsidTr="00EF43A4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7447A9" w:rsidP="00E72541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pic </w:t>
            </w:r>
            <w:r w:rsidR="00E72541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>: Statistics and Probability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C90500" w:rsidP="00E72541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Spearman’s Rank Correlation Coefficient</w:t>
            </w:r>
          </w:p>
        </w:tc>
      </w:tr>
      <w:tr w:rsidR="00450551" w:rsidRPr="00A4348D" w:rsidTr="00EF43A4">
        <w:trPr>
          <w:trHeight w:val="260"/>
        </w:trPr>
        <w:tc>
          <w:tcPr>
            <w:tcW w:w="11016" w:type="dxa"/>
            <w:gridSpan w:val="3"/>
          </w:tcPr>
          <w:p w:rsidR="00DD63CF" w:rsidRDefault="00DD63CF" w:rsidP="00480821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F43A4">
        <w:trPr>
          <w:trHeight w:val="260"/>
        </w:trPr>
        <w:tc>
          <w:tcPr>
            <w:tcW w:w="8118" w:type="dxa"/>
            <w:gridSpan w:val="2"/>
          </w:tcPr>
          <w:p w:rsidR="00A05DC8" w:rsidRDefault="00A05DC8" w:rsidP="00E85302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the local pool, the swim coach conducts a test to determine if there is any association between an athlete’s age and their best time swimming the 50 m freestyle. Eight athletes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are chosen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at random, and their details are shown below.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06"/>
              <w:gridCol w:w="684"/>
              <w:gridCol w:w="687"/>
              <w:gridCol w:w="720"/>
              <w:gridCol w:w="720"/>
              <w:gridCol w:w="720"/>
              <w:gridCol w:w="720"/>
              <w:gridCol w:w="720"/>
              <w:gridCol w:w="720"/>
            </w:tblGrid>
            <w:tr w:rsidR="00A05DC8" w:rsidTr="00A05DC8">
              <w:trPr>
                <w:jc w:val="center"/>
              </w:trPr>
              <w:tc>
                <w:tcPr>
                  <w:tcW w:w="1306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Athlete</w:t>
                  </w:r>
                </w:p>
              </w:tc>
              <w:tc>
                <w:tcPr>
                  <w:tcW w:w="684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687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720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720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720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720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720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720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</w:t>
                  </w:r>
                </w:p>
              </w:tc>
            </w:tr>
            <w:tr w:rsidR="00A05DC8" w:rsidTr="00A05DC8">
              <w:trPr>
                <w:jc w:val="center"/>
              </w:trPr>
              <w:tc>
                <w:tcPr>
                  <w:tcW w:w="1306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Athlete’s Age (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yrs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84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87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0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20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20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20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20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33</w:t>
                  </w:r>
                </w:p>
              </w:tc>
            </w:tr>
            <w:tr w:rsidR="00A05DC8" w:rsidTr="00A05DC8">
              <w:trPr>
                <w:jc w:val="center"/>
              </w:trPr>
              <w:tc>
                <w:tcPr>
                  <w:tcW w:w="1306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Time (sec)</w:t>
                  </w:r>
                </w:p>
              </w:tc>
              <w:tc>
                <w:tcPr>
                  <w:tcW w:w="684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49.1</w:t>
                  </w:r>
                </w:p>
              </w:tc>
              <w:tc>
                <w:tcPr>
                  <w:tcW w:w="687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48.2</w:t>
                  </w:r>
                </w:p>
              </w:tc>
              <w:tc>
                <w:tcPr>
                  <w:tcW w:w="720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43.1</w:t>
                  </w:r>
                </w:p>
              </w:tc>
              <w:tc>
                <w:tcPr>
                  <w:tcW w:w="720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46.3</w:t>
                  </w:r>
                </w:p>
              </w:tc>
              <w:tc>
                <w:tcPr>
                  <w:tcW w:w="720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44.4</w:t>
                  </w:r>
                </w:p>
              </w:tc>
              <w:tc>
                <w:tcPr>
                  <w:tcW w:w="720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44.2</w:t>
                  </w:r>
                </w:p>
              </w:tc>
              <w:tc>
                <w:tcPr>
                  <w:tcW w:w="720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55.0</w:t>
                  </w:r>
                </w:p>
              </w:tc>
              <w:tc>
                <w:tcPr>
                  <w:tcW w:w="720" w:type="dxa"/>
                </w:tcPr>
                <w:p w:rsidR="00A05DC8" w:rsidRDefault="00A05DC8" w:rsidP="00A05DC8">
                  <w:pPr>
                    <w:spacing w:before="120" w:after="240" w:line="28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45.8</w:t>
                  </w:r>
                </w:p>
              </w:tc>
            </w:tr>
          </w:tbl>
          <w:p w:rsidR="00450551" w:rsidRPr="00A05DC8" w:rsidRDefault="00450551" w:rsidP="00A05DC8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A05DC8" w:rsidRDefault="00A05DC8" w:rsidP="0046069F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the table of ranks.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37"/>
              <w:gridCol w:w="580"/>
              <w:gridCol w:w="59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A05DC8" w:rsidTr="00A05DC8">
              <w:trPr>
                <w:jc w:val="center"/>
              </w:trPr>
              <w:tc>
                <w:tcPr>
                  <w:tcW w:w="1237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Athlete</w:t>
                  </w:r>
                </w:p>
              </w:tc>
              <w:tc>
                <w:tcPr>
                  <w:tcW w:w="58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59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54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54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54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54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4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54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</w:t>
                  </w:r>
                </w:p>
              </w:tc>
            </w:tr>
            <w:tr w:rsidR="00A05DC8" w:rsidTr="00A05DC8">
              <w:trPr>
                <w:jc w:val="center"/>
              </w:trPr>
              <w:tc>
                <w:tcPr>
                  <w:tcW w:w="1237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Athlete Age rank</w:t>
                  </w:r>
                </w:p>
              </w:tc>
              <w:tc>
                <w:tcPr>
                  <w:tcW w:w="58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05DC8" w:rsidTr="00A05DC8">
              <w:trPr>
                <w:jc w:val="center"/>
              </w:trPr>
              <w:tc>
                <w:tcPr>
                  <w:tcW w:w="1237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Time rank</w:t>
                  </w:r>
                </w:p>
              </w:tc>
              <w:tc>
                <w:tcPr>
                  <w:tcW w:w="58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" w:type="dxa"/>
                </w:tcPr>
                <w:p w:rsidR="00A05DC8" w:rsidRDefault="00A05DC8" w:rsidP="00A05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A7169" w:rsidRPr="00A05DC8" w:rsidRDefault="00DA7169" w:rsidP="00A05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9C0AB1" w:rsidRDefault="00A05DC8" w:rsidP="00E72541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Calculate the Spearman’s Rank Correlation Coefficient.</w:t>
            </w:r>
          </w:p>
          <w:p w:rsidR="00A05DC8" w:rsidRDefault="00A05DC8" w:rsidP="00A05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A05DC8" w:rsidRDefault="00A05DC8" w:rsidP="00A05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(c)  Interpret this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s</m:t>
                  </m:r>
                </m:sub>
              </m:sSub>
            </m:oMath>
            <w:r>
              <w:rPr>
                <w:rFonts w:ascii="Arial" w:hAnsi="Arial" w:cs="Arial"/>
                <w:sz w:val="24"/>
                <w:szCs w:val="24"/>
              </w:rPr>
              <w:t xml:space="preserve"> in the context of the question.</w:t>
            </w:r>
          </w:p>
          <w:p w:rsidR="00A05DC8" w:rsidRDefault="00A05DC8" w:rsidP="00A05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A05DC8" w:rsidRDefault="00A05DC8" w:rsidP="00A05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A05DC8" w:rsidRPr="00A05DC8" w:rsidRDefault="00A05DC8" w:rsidP="00A05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 Suggest why the coach did not use Pearson’s Product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                  Moment Correlation Coefficient with his data from the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                  original table.</w:t>
            </w:r>
          </w:p>
        </w:tc>
        <w:tc>
          <w:tcPr>
            <w:tcW w:w="2898" w:type="dxa"/>
          </w:tcPr>
          <w:p w:rsidR="009D468D" w:rsidRDefault="00450551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F614CA">
              <w:rPr>
                <w:rFonts w:ascii="Arial" w:hAnsi="Arial" w:cs="Arial"/>
              </w:rPr>
              <w:br/>
            </w:r>
          </w:p>
          <w:p w:rsidR="00C944F9" w:rsidRDefault="00C944F9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E85302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054A8">
              <w:rPr>
                <w:rFonts w:ascii="Arial" w:hAnsi="Arial" w:cs="Arial"/>
              </w:rPr>
              <w:t>(</w:t>
            </w:r>
            <w:r w:rsidR="00A05DC8">
              <w:rPr>
                <w:rFonts w:ascii="Arial" w:hAnsi="Arial" w:cs="Arial"/>
              </w:rPr>
              <w:t>2</w:t>
            </w:r>
            <w:r w:rsidR="00C054A8">
              <w:rPr>
                <w:rFonts w:ascii="Arial" w:hAnsi="Arial" w:cs="Arial"/>
              </w:rPr>
              <w:t xml:space="preserve"> marks)</w:t>
            </w:r>
            <w:r w:rsidR="009C0AB1">
              <w:rPr>
                <w:rFonts w:ascii="Arial" w:hAnsi="Arial" w:cs="Arial"/>
              </w:rPr>
              <w:br/>
            </w: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72541">
              <w:rPr>
                <w:rFonts w:ascii="Arial" w:hAnsi="Arial" w:cs="Arial"/>
              </w:rPr>
              <w:br/>
            </w:r>
            <w:r w:rsidR="009C0AB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    (2</w:t>
            </w:r>
            <w:r w:rsidR="009C0AB1">
              <w:rPr>
                <w:rFonts w:ascii="Arial" w:hAnsi="Arial" w:cs="Arial"/>
              </w:rPr>
              <w:t xml:space="preserve"> marks</w:t>
            </w:r>
            <w:r w:rsidR="00E85302">
              <w:rPr>
                <w:rFonts w:ascii="Arial" w:hAnsi="Arial" w:cs="Arial"/>
              </w:rPr>
              <w:t>)</w:t>
            </w: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(1 mark)</w:t>
            </w: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Pr="00450551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(1 mark)</w:t>
            </w:r>
          </w:p>
        </w:tc>
      </w:tr>
      <w:tr w:rsidR="00C22F9B" w:rsidRPr="00A4348D" w:rsidTr="00EF43A4">
        <w:trPr>
          <w:trHeight w:val="260"/>
        </w:trPr>
        <w:tc>
          <w:tcPr>
            <w:tcW w:w="8118" w:type="dxa"/>
            <w:gridSpan w:val="2"/>
          </w:tcPr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05DC8" w:rsidRDefault="00A05DC8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35672C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 w:rsidR="00C22F9B"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35672C" w:rsidRDefault="0035672C" w:rsidP="0035672C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37"/>
              <w:gridCol w:w="580"/>
              <w:gridCol w:w="59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35672C" w:rsidTr="00DB158C">
              <w:trPr>
                <w:jc w:val="center"/>
              </w:trPr>
              <w:tc>
                <w:tcPr>
                  <w:tcW w:w="1237" w:type="dxa"/>
                </w:tcPr>
                <w:p w:rsidR="0035672C" w:rsidRDefault="0035672C" w:rsidP="003567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Athlete</w:t>
                  </w:r>
                </w:p>
              </w:tc>
              <w:tc>
                <w:tcPr>
                  <w:tcW w:w="580" w:type="dxa"/>
                </w:tcPr>
                <w:p w:rsidR="0035672C" w:rsidRDefault="0035672C" w:rsidP="003567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590" w:type="dxa"/>
                </w:tcPr>
                <w:p w:rsidR="0035672C" w:rsidRDefault="0035672C" w:rsidP="003567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540" w:type="dxa"/>
                </w:tcPr>
                <w:p w:rsidR="0035672C" w:rsidRDefault="0035672C" w:rsidP="003567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540" w:type="dxa"/>
                </w:tcPr>
                <w:p w:rsidR="0035672C" w:rsidRDefault="0035672C" w:rsidP="003567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540" w:type="dxa"/>
                </w:tcPr>
                <w:p w:rsidR="0035672C" w:rsidRDefault="0035672C" w:rsidP="003567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540" w:type="dxa"/>
                </w:tcPr>
                <w:p w:rsidR="0035672C" w:rsidRDefault="0035672C" w:rsidP="003567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40" w:type="dxa"/>
                </w:tcPr>
                <w:p w:rsidR="0035672C" w:rsidRDefault="0035672C" w:rsidP="003567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540" w:type="dxa"/>
                </w:tcPr>
                <w:p w:rsidR="0035672C" w:rsidRDefault="0035672C" w:rsidP="003567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</w:t>
                  </w:r>
                </w:p>
              </w:tc>
            </w:tr>
            <w:tr w:rsidR="0035672C" w:rsidTr="00DB158C">
              <w:trPr>
                <w:jc w:val="center"/>
              </w:trPr>
              <w:tc>
                <w:tcPr>
                  <w:tcW w:w="1237" w:type="dxa"/>
                </w:tcPr>
                <w:p w:rsidR="0035672C" w:rsidRDefault="0035672C" w:rsidP="003567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Athlete Age rank</w:t>
                  </w:r>
                </w:p>
              </w:tc>
              <w:tc>
                <w:tcPr>
                  <w:tcW w:w="580" w:type="dxa"/>
                </w:tcPr>
                <w:p w:rsidR="0035672C" w:rsidRPr="0035672C" w:rsidRDefault="0035672C" w:rsidP="003567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0" w:type="dxa"/>
                </w:tcPr>
                <w:p w:rsidR="0035672C" w:rsidRPr="0035672C" w:rsidRDefault="0035672C" w:rsidP="003567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0" w:type="dxa"/>
                </w:tcPr>
                <w:p w:rsidR="0035672C" w:rsidRPr="0035672C" w:rsidRDefault="0035672C" w:rsidP="003567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:rsidR="0035672C" w:rsidRPr="0035672C" w:rsidRDefault="0035672C" w:rsidP="003567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:rsidR="0035672C" w:rsidRDefault="0035672C" w:rsidP="003567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:rsidR="0035672C" w:rsidRPr="0035672C" w:rsidRDefault="0035672C" w:rsidP="003567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:rsidR="0035672C" w:rsidRPr="0035672C" w:rsidRDefault="0035672C" w:rsidP="003567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0" w:type="dxa"/>
                </w:tcPr>
                <w:p w:rsidR="0035672C" w:rsidRPr="0035672C" w:rsidRDefault="0035672C" w:rsidP="003567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35672C" w:rsidTr="00DB158C">
              <w:trPr>
                <w:jc w:val="center"/>
              </w:trPr>
              <w:tc>
                <w:tcPr>
                  <w:tcW w:w="1237" w:type="dxa"/>
                </w:tcPr>
                <w:p w:rsidR="0035672C" w:rsidRDefault="0035672C" w:rsidP="003567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Time rank</w:t>
                  </w:r>
                </w:p>
              </w:tc>
              <w:tc>
                <w:tcPr>
                  <w:tcW w:w="580" w:type="dxa"/>
                </w:tcPr>
                <w:p w:rsidR="0035672C" w:rsidRPr="0035672C" w:rsidRDefault="0035672C" w:rsidP="003567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0" w:type="dxa"/>
                </w:tcPr>
                <w:p w:rsidR="0035672C" w:rsidRPr="0035672C" w:rsidRDefault="0035672C" w:rsidP="003567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:rsidR="0035672C" w:rsidRPr="0035672C" w:rsidRDefault="0035672C" w:rsidP="003567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0" w:type="dxa"/>
                </w:tcPr>
                <w:p w:rsidR="0035672C" w:rsidRPr="0035672C" w:rsidRDefault="0035672C" w:rsidP="003567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:rsidR="0035672C" w:rsidRPr="0035672C" w:rsidRDefault="0035672C" w:rsidP="003567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0" w:type="dxa"/>
                </w:tcPr>
                <w:p w:rsidR="0035672C" w:rsidRPr="0035672C" w:rsidRDefault="0035672C" w:rsidP="003567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0" w:type="dxa"/>
                </w:tcPr>
                <w:p w:rsidR="0035672C" w:rsidRDefault="0035672C" w:rsidP="003567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" w:type="dxa"/>
                </w:tcPr>
                <w:p w:rsidR="0035672C" w:rsidRPr="0035672C" w:rsidRDefault="0035672C" w:rsidP="003567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35672C" w:rsidRPr="00A05DC8" w:rsidRDefault="0035672C" w:rsidP="0035672C">
            <w:pPr>
              <w:rPr>
                <w:rFonts w:ascii="Arial" w:hAnsi="Arial" w:cs="Arial"/>
                <w:sz w:val="24"/>
                <w:szCs w:val="24"/>
              </w:rPr>
            </w:pPr>
          </w:p>
          <w:p w:rsidR="0035672C" w:rsidRPr="00E4790D" w:rsidRDefault="00E4790D" w:rsidP="0035672C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= -0.628</m:t>
              </m:r>
            </m:oMath>
          </w:p>
          <w:p w:rsidR="0035672C" w:rsidRDefault="0035672C" w:rsidP="00356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:rsidR="0035672C" w:rsidRPr="00E4790D" w:rsidRDefault="0035672C" w:rsidP="00356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(c) 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= -0.628</m:t>
              </m:r>
            </m:oMath>
            <w:r w:rsidR="00537F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37FE8" w:rsidRPr="00537FE8">
              <w:rPr>
                <w:rFonts w:ascii="Arial" w:hAnsi="Arial" w:cs="Arial"/>
                <w:i/>
                <w:sz w:val="24"/>
                <w:szCs w:val="24"/>
              </w:rPr>
              <w:t>indicates</w:t>
            </w:r>
            <w:proofErr w:type="gramEnd"/>
            <w:r w:rsidR="00537FE8" w:rsidRPr="00537FE8">
              <w:rPr>
                <w:rFonts w:ascii="Arial" w:hAnsi="Arial" w:cs="Arial"/>
                <w:i/>
                <w:sz w:val="24"/>
                <w:szCs w:val="24"/>
              </w:rPr>
              <w:t xml:space="preserve"> a negative correlation between a </w:t>
            </w:r>
            <w:r w:rsidR="00537FE8" w:rsidRPr="00537FE8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                   person’s age and the best time they swim the 50 m </w:t>
            </w:r>
            <w:r w:rsidR="00537FE8" w:rsidRPr="00537FE8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                   freestyle. The older the athlete gets, the faster their time </w:t>
            </w:r>
            <w:r w:rsidR="00537FE8" w:rsidRPr="00537FE8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                   tends to be.</w:t>
            </w:r>
          </w:p>
          <w:p w:rsidR="0035672C" w:rsidRDefault="0035672C" w:rsidP="0035672C">
            <w:pPr>
              <w:rPr>
                <w:rFonts w:ascii="Arial" w:hAnsi="Arial" w:cs="Arial"/>
                <w:sz w:val="24"/>
                <w:szCs w:val="24"/>
              </w:rPr>
            </w:pPr>
          </w:p>
          <w:p w:rsidR="0035672C" w:rsidRDefault="0035672C" w:rsidP="0035672C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:rsidR="00537FE8" w:rsidRPr="00E4790D" w:rsidRDefault="0035672C" w:rsidP="0035672C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35672C">
              <w:rPr>
                <w:rFonts w:ascii="Arial" w:hAnsi="Arial" w:cs="Arial"/>
                <w:sz w:val="24"/>
                <w:szCs w:val="24"/>
              </w:rPr>
              <w:t xml:space="preserve">(d)  </w:t>
            </w:r>
            <w:r w:rsidR="00537FE8" w:rsidRPr="00537FE8">
              <w:rPr>
                <w:rFonts w:ascii="Arial" w:hAnsi="Arial" w:cs="Arial"/>
                <w:i/>
                <w:sz w:val="24"/>
                <w:szCs w:val="24"/>
              </w:rPr>
              <w:t xml:space="preserve">Examples:  Data may not be linear, the SRCC is less </w:t>
            </w:r>
            <w:r w:rsidR="00537FE8" w:rsidRPr="00537FE8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                    sensitive to outliers, there could be outliers</w:t>
            </w:r>
            <w:proofErr w:type="gramStart"/>
            <w:r w:rsidR="00537FE8" w:rsidRPr="00537FE8">
              <w:rPr>
                <w:rFonts w:ascii="Arial" w:hAnsi="Arial" w:cs="Arial"/>
                <w:i/>
                <w:sz w:val="24"/>
                <w:szCs w:val="24"/>
              </w:rPr>
              <w:t xml:space="preserve">, there could be </w:t>
            </w:r>
            <w:r w:rsidR="00537FE8" w:rsidRPr="00537FE8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                    multiple swimmers of different ages with the same swim </w:t>
            </w:r>
            <w:r w:rsidR="00537FE8" w:rsidRPr="00537FE8">
              <w:rPr>
                <w:rFonts w:ascii="Arial" w:hAnsi="Arial" w:cs="Arial"/>
                <w:i/>
                <w:sz w:val="24"/>
                <w:szCs w:val="24"/>
              </w:rPr>
              <w:br/>
              <w:t xml:space="preserve">                     </w:t>
            </w:r>
            <w:proofErr w:type="gramEnd"/>
            <w:r w:rsidR="00537FE8" w:rsidRPr="00537FE8">
              <w:rPr>
                <w:rFonts w:ascii="Arial" w:hAnsi="Arial" w:cs="Arial"/>
                <w:i/>
                <w:sz w:val="24"/>
                <w:szCs w:val="24"/>
              </w:rPr>
              <w:t xml:space="preserve"> times.</w:t>
            </w:r>
          </w:p>
        </w:tc>
        <w:tc>
          <w:tcPr>
            <w:tcW w:w="2898" w:type="dxa"/>
          </w:tcPr>
          <w:p w:rsidR="00C22F9B" w:rsidRPr="00C22F9B" w:rsidRDefault="00C22F9B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4F9" w:rsidRDefault="00C944F9" w:rsidP="00C944F9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35672C" w:rsidRDefault="00141B96" w:rsidP="00E4790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  <w:r w:rsidR="00CB0A6A">
              <w:rPr>
                <w:rFonts w:ascii="Arial" w:hAnsi="Arial" w:cs="Arial"/>
                <w:sz w:val="24"/>
                <w:szCs w:val="24"/>
              </w:rPr>
              <w:t>(</w:t>
            </w:r>
            <w:r w:rsidR="0035672C">
              <w:rPr>
                <w:rFonts w:ascii="Arial" w:hAnsi="Arial" w:cs="Arial"/>
                <w:sz w:val="24"/>
                <w:szCs w:val="24"/>
              </w:rPr>
              <w:t>A1</w:t>
            </w:r>
            <w:r w:rsidR="00CB0A6A">
              <w:rPr>
                <w:rFonts w:ascii="Arial" w:hAnsi="Arial" w:cs="Arial"/>
                <w:sz w:val="24"/>
                <w:szCs w:val="24"/>
              </w:rPr>
              <w:t>)</w:t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  <w:p w:rsidR="0035672C" w:rsidRDefault="0035672C" w:rsidP="00842FFE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842FFE" w:rsidRDefault="0035672C" w:rsidP="00842FFE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(A2</w:t>
            </w:r>
            <w:r w:rsidR="00842FF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37FE8" w:rsidRDefault="00E4790D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537FE8">
              <w:rPr>
                <w:rFonts w:ascii="Arial" w:hAnsi="Arial" w:cs="Arial"/>
                <w:sz w:val="24"/>
                <w:szCs w:val="24"/>
              </w:rPr>
              <w:br/>
            </w:r>
            <w:r w:rsidR="00537FE8">
              <w:rPr>
                <w:rFonts w:ascii="Arial" w:hAnsi="Arial" w:cs="Arial"/>
                <w:sz w:val="24"/>
                <w:szCs w:val="24"/>
              </w:rPr>
              <w:br/>
              <w:t>(R</w:t>
            </w:r>
            <w:r w:rsidR="00842FFE">
              <w:rPr>
                <w:rFonts w:ascii="Arial" w:hAnsi="Arial" w:cs="Arial"/>
                <w:sz w:val="24"/>
                <w:szCs w:val="24"/>
              </w:rPr>
              <w:t>1)</w:t>
            </w:r>
          </w:p>
          <w:p w:rsidR="00537FE8" w:rsidRDefault="00537FE8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537FE8" w:rsidRDefault="00537FE8" w:rsidP="00E4790D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537FE8" w:rsidRDefault="00537FE8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AD573F" w:rsidRPr="00C22F9B" w:rsidRDefault="00537FE8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E4790D" w:rsidRDefault="00E4790D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:rsidR="00E4790D" w:rsidRPr="00E4790D" w:rsidRDefault="00E4790D" w:rsidP="00E4790D">
      <w:pPr>
        <w:rPr>
          <w:rFonts w:ascii="Arial" w:hAnsi="Arial" w:cs="Arial"/>
          <w:sz w:val="20"/>
          <w:szCs w:val="20"/>
        </w:rPr>
      </w:pPr>
    </w:p>
    <w:p w:rsidR="00E4790D" w:rsidRPr="00E4790D" w:rsidRDefault="00E4790D" w:rsidP="00E4790D">
      <w:pPr>
        <w:rPr>
          <w:rFonts w:ascii="Arial" w:hAnsi="Arial" w:cs="Arial"/>
          <w:sz w:val="20"/>
          <w:szCs w:val="20"/>
        </w:rPr>
      </w:pPr>
    </w:p>
    <w:p w:rsidR="00E4790D" w:rsidRPr="00E4790D" w:rsidRDefault="00E4790D" w:rsidP="00E4790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4790D" w:rsidRPr="00E4790D" w:rsidRDefault="00E4790D" w:rsidP="00E4790D">
      <w:pPr>
        <w:rPr>
          <w:rFonts w:ascii="Arial" w:hAnsi="Arial" w:cs="Arial"/>
          <w:sz w:val="20"/>
          <w:szCs w:val="20"/>
        </w:rPr>
      </w:pPr>
    </w:p>
    <w:p w:rsidR="00E4790D" w:rsidRPr="00E4790D" w:rsidRDefault="00E4790D" w:rsidP="00E4790D">
      <w:pPr>
        <w:rPr>
          <w:rFonts w:ascii="Arial" w:hAnsi="Arial" w:cs="Arial"/>
          <w:sz w:val="20"/>
          <w:szCs w:val="20"/>
        </w:rPr>
      </w:pPr>
    </w:p>
    <w:p w:rsidR="00E4790D" w:rsidRPr="00E4790D" w:rsidRDefault="00E4790D" w:rsidP="00E4790D">
      <w:pPr>
        <w:rPr>
          <w:rFonts w:ascii="Arial" w:hAnsi="Arial" w:cs="Arial"/>
          <w:sz w:val="20"/>
          <w:szCs w:val="20"/>
        </w:rPr>
      </w:pPr>
    </w:p>
    <w:p w:rsidR="00E4790D" w:rsidRPr="00E4790D" w:rsidRDefault="00E4790D" w:rsidP="00E4790D">
      <w:pPr>
        <w:rPr>
          <w:rFonts w:ascii="Arial" w:hAnsi="Arial" w:cs="Arial"/>
          <w:sz w:val="20"/>
          <w:szCs w:val="20"/>
        </w:rPr>
      </w:pPr>
    </w:p>
    <w:p w:rsidR="00E4790D" w:rsidRPr="00E4790D" w:rsidRDefault="00E4790D" w:rsidP="00E4790D">
      <w:pPr>
        <w:rPr>
          <w:rFonts w:ascii="Arial" w:hAnsi="Arial" w:cs="Arial"/>
          <w:sz w:val="20"/>
          <w:szCs w:val="20"/>
        </w:rPr>
      </w:pPr>
    </w:p>
    <w:p w:rsidR="00E4790D" w:rsidRDefault="00E4790D" w:rsidP="00E4790D">
      <w:pPr>
        <w:rPr>
          <w:rFonts w:ascii="Arial" w:hAnsi="Arial" w:cs="Arial"/>
          <w:sz w:val="20"/>
          <w:szCs w:val="20"/>
        </w:rPr>
      </w:pPr>
    </w:p>
    <w:p w:rsidR="00832934" w:rsidRPr="00E4790D" w:rsidRDefault="00E4790D" w:rsidP="00E4790D">
      <w:pPr>
        <w:tabs>
          <w:tab w:val="left" w:pos="11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832934" w:rsidRPr="00E4790D" w:rsidSect="00AF756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5C" w:rsidRDefault="003D5B5C" w:rsidP="001D66AC">
      <w:pPr>
        <w:spacing w:after="0" w:line="240" w:lineRule="auto"/>
      </w:pPr>
      <w:r>
        <w:separator/>
      </w:r>
    </w:p>
  </w:endnote>
  <w:endnote w:type="continuationSeparator" w:id="0">
    <w:p w:rsidR="003D5B5C" w:rsidRDefault="003D5B5C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E4790D">
      <w:rPr>
        <w:rFonts w:ascii="Arial" w:hAnsi="Arial" w:cs="Arial"/>
        <w:b/>
        <w:smallCaps/>
        <w:sz w:val="16"/>
        <w:szCs w:val="16"/>
      </w:rPr>
      <w:t>2023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E4790D">
      <w:rPr>
        <w:rStyle w:val="PageNumber"/>
        <w:rFonts w:ascii="Arial" w:hAnsi="Arial" w:cs="Arial"/>
        <w:b/>
        <w:noProof/>
        <w:sz w:val="18"/>
        <w:szCs w:val="18"/>
      </w:rPr>
      <w:t>2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5C" w:rsidRDefault="003D5B5C" w:rsidP="001D66AC">
      <w:pPr>
        <w:spacing w:after="0" w:line="240" w:lineRule="auto"/>
      </w:pPr>
      <w:r>
        <w:separator/>
      </w:r>
    </w:p>
  </w:footnote>
  <w:footnote w:type="continuationSeparator" w:id="0">
    <w:p w:rsidR="003D5B5C" w:rsidRDefault="003D5B5C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4C474D03" wp14:editId="66623751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C90500">
      <w:rPr>
        <w:rFonts w:ascii="Arial" w:hAnsi="Arial" w:cs="Arial"/>
        <w:b/>
        <w:sz w:val="28"/>
        <w:szCs w:val="28"/>
      </w:rPr>
      <w:t>Spearman’s Rank Correlation Coefficient</w:t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TI Logo" style="width:272.4pt;height:265.2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309E1"/>
    <w:multiLevelType w:val="hybridMultilevel"/>
    <w:tmpl w:val="F666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7" w15:restartNumberingAfterBreak="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4A7943"/>
    <w:multiLevelType w:val="hybridMultilevel"/>
    <w:tmpl w:val="A0C2BF3C"/>
    <w:lvl w:ilvl="0" w:tplc="1CA43F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4B92EC9"/>
    <w:multiLevelType w:val="hybridMultilevel"/>
    <w:tmpl w:val="FCEED00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4"/>
  </w:num>
  <w:num w:numId="7">
    <w:abstractNumId w:val="21"/>
  </w:num>
  <w:num w:numId="8">
    <w:abstractNumId w:val="19"/>
  </w:num>
  <w:num w:numId="9">
    <w:abstractNumId w:val="4"/>
  </w:num>
  <w:num w:numId="10">
    <w:abstractNumId w:val="38"/>
  </w:num>
  <w:num w:numId="11">
    <w:abstractNumId w:val="7"/>
  </w:num>
  <w:num w:numId="12">
    <w:abstractNumId w:val="35"/>
  </w:num>
  <w:num w:numId="13">
    <w:abstractNumId w:val="32"/>
  </w:num>
  <w:num w:numId="14">
    <w:abstractNumId w:val="28"/>
  </w:num>
  <w:num w:numId="15">
    <w:abstractNumId w:val="42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25"/>
  </w:num>
  <w:num w:numId="22">
    <w:abstractNumId w:val="36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40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7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20"/>
  </w:num>
  <w:num w:numId="41">
    <w:abstractNumId w:val="26"/>
  </w:num>
  <w:num w:numId="42">
    <w:abstractNumId w:val="33"/>
  </w:num>
  <w:num w:numId="43">
    <w:abstractNumId w:val="4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AC"/>
    <w:rsid w:val="00006A7E"/>
    <w:rsid w:val="00031464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3CDE"/>
    <w:rsid w:val="000A4511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603BC"/>
    <w:rsid w:val="001630A8"/>
    <w:rsid w:val="00167985"/>
    <w:rsid w:val="001763E5"/>
    <w:rsid w:val="00183605"/>
    <w:rsid w:val="001913A0"/>
    <w:rsid w:val="00192BFC"/>
    <w:rsid w:val="001B0843"/>
    <w:rsid w:val="001B20BC"/>
    <w:rsid w:val="001C3C5D"/>
    <w:rsid w:val="001C771E"/>
    <w:rsid w:val="001D34F7"/>
    <w:rsid w:val="001D66AC"/>
    <w:rsid w:val="001D6F05"/>
    <w:rsid w:val="001E20FF"/>
    <w:rsid w:val="00201F8E"/>
    <w:rsid w:val="002156B2"/>
    <w:rsid w:val="0023314F"/>
    <w:rsid w:val="002376DE"/>
    <w:rsid w:val="00245E53"/>
    <w:rsid w:val="00247783"/>
    <w:rsid w:val="00264A60"/>
    <w:rsid w:val="002654AD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C1A3D"/>
    <w:rsid w:val="002E2D0E"/>
    <w:rsid w:val="003123DF"/>
    <w:rsid w:val="0031244F"/>
    <w:rsid w:val="0035672C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D5B5C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821"/>
    <w:rsid w:val="00480A30"/>
    <w:rsid w:val="00480CBD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7B03"/>
    <w:rsid w:val="00524FD0"/>
    <w:rsid w:val="00532D69"/>
    <w:rsid w:val="005331A4"/>
    <w:rsid w:val="00537FE8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5F402A"/>
    <w:rsid w:val="00611A18"/>
    <w:rsid w:val="00630AB2"/>
    <w:rsid w:val="00646146"/>
    <w:rsid w:val="00655B56"/>
    <w:rsid w:val="00656442"/>
    <w:rsid w:val="006648A6"/>
    <w:rsid w:val="0066611A"/>
    <w:rsid w:val="006743AA"/>
    <w:rsid w:val="006950F9"/>
    <w:rsid w:val="006A41DF"/>
    <w:rsid w:val="006A7460"/>
    <w:rsid w:val="006B25C7"/>
    <w:rsid w:val="006C0855"/>
    <w:rsid w:val="006E63A2"/>
    <w:rsid w:val="006E6623"/>
    <w:rsid w:val="006F5E11"/>
    <w:rsid w:val="00704A49"/>
    <w:rsid w:val="00711DAB"/>
    <w:rsid w:val="007124DF"/>
    <w:rsid w:val="00733446"/>
    <w:rsid w:val="00735890"/>
    <w:rsid w:val="007447A9"/>
    <w:rsid w:val="0075414C"/>
    <w:rsid w:val="00754D0D"/>
    <w:rsid w:val="007906FA"/>
    <w:rsid w:val="007939E5"/>
    <w:rsid w:val="007A7275"/>
    <w:rsid w:val="007B5518"/>
    <w:rsid w:val="007B63A1"/>
    <w:rsid w:val="007C1517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42FFE"/>
    <w:rsid w:val="008565A9"/>
    <w:rsid w:val="00857541"/>
    <w:rsid w:val="008614E4"/>
    <w:rsid w:val="00861AB2"/>
    <w:rsid w:val="008648C5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17599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4CA2"/>
    <w:rsid w:val="00986901"/>
    <w:rsid w:val="00987D79"/>
    <w:rsid w:val="009B1126"/>
    <w:rsid w:val="009B382D"/>
    <w:rsid w:val="009B41E8"/>
    <w:rsid w:val="009B6F85"/>
    <w:rsid w:val="009C0AB1"/>
    <w:rsid w:val="009C136D"/>
    <w:rsid w:val="009D264D"/>
    <w:rsid w:val="009D468D"/>
    <w:rsid w:val="009D4B80"/>
    <w:rsid w:val="009E5305"/>
    <w:rsid w:val="00A04A50"/>
    <w:rsid w:val="00A04C18"/>
    <w:rsid w:val="00A0567C"/>
    <w:rsid w:val="00A05DC8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73F"/>
    <w:rsid w:val="00AD5B1A"/>
    <w:rsid w:val="00AE5C3D"/>
    <w:rsid w:val="00AF5DC7"/>
    <w:rsid w:val="00AF756E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1C9A"/>
    <w:rsid w:val="00C841DB"/>
    <w:rsid w:val="00C90500"/>
    <w:rsid w:val="00C944F9"/>
    <w:rsid w:val="00CA3BF5"/>
    <w:rsid w:val="00CA5B9F"/>
    <w:rsid w:val="00CA7B05"/>
    <w:rsid w:val="00CB0A6A"/>
    <w:rsid w:val="00CC0C74"/>
    <w:rsid w:val="00CD7825"/>
    <w:rsid w:val="00CF0C49"/>
    <w:rsid w:val="00CF738A"/>
    <w:rsid w:val="00D03C64"/>
    <w:rsid w:val="00D2074B"/>
    <w:rsid w:val="00D22AAB"/>
    <w:rsid w:val="00D30C97"/>
    <w:rsid w:val="00D46967"/>
    <w:rsid w:val="00D74559"/>
    <w:rsid w:val="00D825E7"/>
    <w:rsid w:val="00D83472"/>
    <w:rsid w:val="00D85EA6"/>
    <w:rsid w:val="00D93207"/>
    <w:rsid w:val="00DA4721"/>
    <w:rsid w:val="00DA69FC"/>
    <w:rsid w:val="00DA7169"/>
    <w:rsid w:val="00DB047E"/>
    <w:rsid w:val="00DB158C"/>
    <w:rsid w:val="00DB31E5"/>
    <w:rsid w:val="00DB3B8E"/>
    <w:rsid w:val="00DB5AA5"/>
    <w:rsid w:val="00DD63CF"/>
    <w:rsid w:val="00DE2963"/>
    <w:rsid w:val="00DF29F1"/>
    <w:rsid w:val="00E1121B"/>
    <w:rsid w:val="00E225C2"/>
    <w:rsid w:val="00E270F8"/>
    <w:rsid w:val="00E4058F"/>
    <w:rsid w:val="00E4790D"/>
    <w:rsid w:val="00E546F6"/>
    <w:rsid w:val="00E578EF"/>
    <w:rsid w:val="00E72541"/>
    <w:rsid w:val="00E73797"/>
    <w:rsid w:val="00E74E1C"/>
    <w:rsid w:val="00E85302"/>
    <w:rsid w:val="00E87D0D"/>
    <w:rsid w:val="00E91C5A"/>
    <w:rsid w:val="00E97A8D"/>
    <w:rsid w:val="00EA11E8"/>
    <w:rsid w:val="00EA7A67"/>
    <w:rsid w:val="00EB3085"/>
    <w:rsid w:val="00EB3E05"/>
    <w:rsid w:val="00EB4566"/>
    <w:rsid w:val="00EC078F"/>
    <w:rsid w:val="00EC4BEF"/>
    <w:rsid w:val="00EC4CED"/>
    <w:rsid w:val="00EC4FD3"/>
    <w:rsid w:val="00EC6F76"/>
    <w:rsid w:val="00EC7DE8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A4E0A"/>
    <w:rsid w:val="00FB7430"/>
    <w:rsid w:val="00FB7DB3"/>
    <w:rsid w:val="00FD1651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55721"/>
  <w15:docId w15:val="{34DADBC9-8415-465D-ABB2-D64A3DEE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FB9FF-0D1D-45AC-9CC5-22FEDFF64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4d4f-eac4-4ad3-9c3a-ccde8c1fd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subject/>
  <dc:creator>Texas Instruments</dc:creator>
  <cp:keywords/>
  <dc:description/>
  <cp:lastModifiedBy>Dan Wilkie</cp:lastModifiedBy>
  <cp:revision>2</cp:revision>
  <cp:lastPrinted>2019-12-12T14:26:00Z</cp:lastPrinted>
  <dcterms:created xsi:type="dcterms:W3CDTF">2023-12-15T18:11:00Z</dcterms:created>
  <dcterms:modified xsi:type="dcterms:W3CDTF">2023-12-15T19:20:00Z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